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附件</w:t>
      </w:r>
    </w:p>
    <w:p>
      <w:pPr>
        <w:pStyle w:val="2"/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年全国联招本科批次普通类</w:t>
      </w:r>
    </w:p>
    <w:p>
      <w:pPr>
        <w:pStyle w:val="2"/>
        <w:spacing w:line="5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录取最低分数线为</w:t>
      </w:r>
      <w:r>
        <w:rPr>
          <w:rFonts w:ascii="Times New Roman" w:hAnsi="Times New Roman" w:eastAsia="方正小标宋简体" w:cs="Times New Roman"/>
          <w:sz w:val="44"/>
          <w:szCs w:val="44"/>
        </w:rPr>
        <w:t>400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分的院校名单</w:t>
      </w:r>
    </w:p>
    <w:bookmarkEnd w:id="0"/>
    <w:p>
      <w:pPr>
        <w:pStyle w:val="2"/>
        <w:spacing w:line="5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(13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sz w:val="32"/>
          <w:szCs w:val="32"/>
        </w:rPr>
        <w:t>所</w:t>
      </w:r>
      <w:r>
        <w:rPr>
          <w:rFonts w:ascii="Times New Roman" w:hAnsi="Times New Roman" w:eastAsia="楷体_GB2312" w:cs="Times New Roman"/>
          <w:sz w:val="32"/>
          <w:szCs w:val="32"/>
        </w:rPr>
        <w:t>)</w:t>
      </w:r>
    </w:p>
    <w:tbl>
      <w:tblPr>
        <w:tblStyle w:val="4"/>
        <w:tblW w:w="10545" w:type="dxa"/>
        <w:tblInd w:w="-4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2649"/>
        <w:gridCol w:w="2565"/>
        <w:gridCol w:w="2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首都医科大学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北京第二外国语学院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北京语言大学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中国传媒大学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中央财经大学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首都经济贸易大学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外交学院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华北电力大学（北京）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中国石油大学（北京）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中国地质大学(北京)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北京大学医学部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中国民航大学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天津财经大学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大连海事大学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中国医科大学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东北财经大学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上海中医药大学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上海对外经贸大学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华东政法大学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上海纽约大学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中国药科大学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西交利物浦大学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宁波诺丁汉大学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合肥工业大学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中国石油大学（华东）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广州医科大学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广东工业大学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广东外语外贸大学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南方医科大学</w:t>
            </w:r>
          </w:p>
        </w:tc>
        <w:tc>
          <w:tcPr>
            <w:tcW w:w="52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北京师范大学-香港浸会大学联合国际学院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北京师范大学（珠海校区）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西南财经大学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西安建筑科技大学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6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陕西师范大学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80580"/>
    <w:rsid w:val="13E711B6"/>
    <w:rsid w:val="22A8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2021-06-18T01:24:00Z</dcterms:created>
  <dc:creator>陈　瑶</dc:creator>
  <cp:lastModifiedBy>@Superman</cp:lastModifiedBy>
  <dcterms:modified xsi:type="dcterms:W3CDTF">2021-06-18T01:50:14Z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16EC387ED0B54200892E44BE4B7CFD79</vt:lpwstr>
  </property>
</Properties>
</file>